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3A6F62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454F8F">
        <w:rPr>
          <w:bCs/>
          <w:sz w:val="16"/>
          <w:szCs w:val="16"/>
        </w:rPr>
        <w:t>14</w:t>
      </w:r>
      <w:r w:rsidRPr="00407FE1">
        <w:rPr>
          <w:bCs/>
          <w:sz w:val="16"/>
          <w:szCs w:val="16"/>
        </w:rPr>
        <w:t>.</w:t>
      </w:r>
      <w:r w:rsidR="00454F8F">
        <w:rPr>
          <w:bCs/>
          <w:sz w:val="16"/>
          <w:szCs w:val="16"/>
        </w:rPr>
        <w:t>07</w:t>
      </w:r>
      <w:r w:rsidRPr="00407FE1">
        <w:rPr>
          <w:bCs/>
          <w:sz w:val="16"/>
          <w:szCs w:val="16"/>
        </w:rPr>
        <w:t xml:space="preserve">.2017 № </w:t>
      </w:r>
      <w:r w:rsidR="00454F8F">
        <w:rPr>
          <w:bCs/>
          <w:sz w:val="16"/>
          <w:szCs w:val="16"/>
        </w:rPr>
        <w:t>41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3A6F62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4 417</w:t>
            </w:r>
            <w:r w:rsidR="000731D9" w:rsidRPr="00F32217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3A6F62" w:rsidP="00AB7D0A">
            <w:pPr>
              <w:jc w:val="center"/>
              <w:rPr>
                <w:b/>
              </w:rPr>
            </w:pPr>
            <w:r>
              <w:rPr>
                <w:b/>
              </w:rPr>
              <w:t>4 417</w:t>
            </w:r>
            <w:r w:rsidR="000731D9" w:rsidRPr="00F32217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454F8F">
              <w:rPr>
                <w:sz w:val="22"/>
                <w:szCs w:val="22"/>
                <w:highlight w:val="yellow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AB7D0A">
            <w:pPr>
              <w:jc w:val="center"/>
            </w:pPr>
            <w:r w:rsidRPr="00F32217">
              <w:t>5</w:t>
            </w:r>
            <w:r w:rsidR="00454F8F">
              <w:t>47</w:t>
            </w:r>
            <w:r w:rsidR="00BB6C76" w:rsidRPr="00F32217">
              <w:t>.</w:t>
            </w:r>
            <w:r w:rsidR="00AB7D0A" w:rsidRPr="00F32217">
              <w:t>0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FD3696">
              <w:rPr>
                <w:color w:val="000000"/>
                <w:sz w:val="22"/>
                <w:szCs w:val="22"/>
                <w:highlight w:val="yellow"/>
              </w:rPr>
              <w:t>00 9999</w:t>
            </w:r>
            <w:r w:rsidR="00174E8F" w:rsidRPr="00FD3696">
              <w:rPr>
                <w:color w:val="000000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F32217" w:rsidRDefault="00454F8F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35</w:t>
            </w:r>
            <w:r w:rsidR="00223842" w:rsidRPr="00F32217">
              <w:rPr>
                <w:bCs/>
              </w:rPr>
              <w:t>.</w:t>
            </w:r>
            <w:r>
              <w:rPr>
                <w:bCs/>
              </w:rPr>
              <w:t>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7316C1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B29EC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B29EC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B29EC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5C223E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C93E8D">
              <w:rPr>
                <w:b/>
                <w:bCs/>
                <w:color w:val="000000"/>
              </w:rPr>
              <w:t>34</w:t>
            </w:r>
            <w:r w:rsidR="00DA5714" w:rsidRPr="00DA5714">
              <w:rPr>
                <w:b/>
                <w:bCs/>
                <w:color w:val="000000"/>
              </w:rPr>
              <w:t>0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5027B4" w:rsidRPr="00F32217">
              <w:rPr>
                <w:b/>
                <w:bCs/>
              </w:rPr>
              <w:t>7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AC089B">
            <w:pPr>
              <w:jc w:val="center"/>
            </w:pPr>
            <w:r w:rsidRPr="00F32217">
              <w:t>100.0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F32217">
              <w:rPr>
                <w:b/>
                <w:bCs/>
              </w:rPr>
              <w:t>3</w:t>
            </w:r>
            <w:r w:rsidR="003A6F62">
              <w:rPr>
                <w:b/>
                <w:bCs/>
              </w:rPr>
              <w:t>02</w:t>
            </w:r>
            <w:r w:rsidR="00D34FC5" w:rsidRPr="00F32217">
              <w:rPr>
                <w:b/>
                <w:bCs/>
              </w:rPr>
              <w:t>2</w:t>
            </w:r>
            <w:r w:rsidR="003C0ACD" w:rsidRPr="00F32217">
              <w:rPr>
                <w:b/>
                <w:bCs/>
              </w:rPr>
              <w:t>.</w:t>
            </w:r>
            <w:r w:rsidR="003A6F62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8A03EF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 xml:space="preserve">04 </w:t>
            </w:r>
            <w:r w:rsidRPr="00454F8F">
              <w:rPr>
                <w:sz w:val="22"/>
                <w:szCs w:val="22"/>
                <w:highlight w:val="yellow"/>
              </w:rPr>
              <w:t>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454F8F" w:rsidP="0002423D">
            <w:pPr>
              <w:jc w:val="center"/>
            </w:pPr>
            <w:r>
              <w:t>412</w:t>
            </w:r>
            <w:r w:rsidR="00300365" w:rsidRPr="00F32217">
              <w:rPr>
                <w:lang w:val="en-US"/>
              </w:rPr>
              <w:t>.</w:t>
            </w:r>
            <w:r>
              <w:t>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95670D" w:rsidRPr="00F32217">
              <w:rPr>
                <w:b/>
                <w:color w:val="000000"/>
                <w:lang w:val="en-US"/>
              </w:rPr>
              <w:t>958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95670D" w:rsidRPr="00F32217">
              <w:rPr>
                <w:b/>
                <w:color w:val="000000"/>
                <w:lang w:val="en-US"/>
              </w:rPr>
              <w:t>949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Pr="00F32217">
              <w:rPr>
                <w:color w:val="000000"/>
                <w:lang w:val="en-US"/>
              </w:rPr>
              <w:t>5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95670D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Pr="00395615">
              <w:rPr>
                <w:color w:val="000000"/>
              </w:rPr>
              <w:t xml:space="preserve">  на повышение заработной платы р</w:t>
            </w:r>
            <w:r w:rsidRPr="00395615">
              <w:rPr>
                <w:color w:val="000000"/>
              </w:rPr>
              <w:t>а</w:t>
            </w:r>
            <w:r w:rsidRPr="00395615">
              <w:rPr>
                <w:color w:val="000000"/>
              </w:rPr>
              <w:t>ботникам муниципальных учреждений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 в рамках подпрограммы «Развитие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ры» муниципальной программы Комиссаро</w:t>
            </w:r>
            <w:r w:rsidRPr="00395615">
              <w:rPr>
                <w:color w:val="000000"/>
              </w:rPr>
              <w:t>в</w:t>
            </w:r>
            <w:r w:rsidRPr="00395615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9.0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9.0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F32217">
              <w:rPr>
                <w:b/>
                <w:bCs/>
                <w:color w:val="000000"/>
              </w:rPr>
              <w:t>140.</w:t>
            </w:r>
            <w:r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120.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114.0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341</w:t>
            </w:r>
            <w:r w:rsidR="003C0ACD" w:rsidRPr="00F32217">
              <w:rPr>
                <w:b/>
              </w:rPr>
              <w:t>.</w:t>
            </w:r>
            <w:r>
              <w:rPr>
                <w:b/>
              </w:rPr>
              <w:t>3</w:t>
            </w:r>
            <w:bookmarkStart w:id="0" w:name="_GoBack"/>
            <w:bookmarkEnd w:id="0"/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5027B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F32217">
              <w:rPr>
                <w:b/>
              </w:rPr>
              <w:t>320</w:t>
            </w:r>
            <w:r w:rsidR="003C0ACD" w:rsidRPr="00F32217">
              <w:rPr>
                <w:b/>
              </w:rPr>
              <w:t>.</w:t>
            </w:r>
            <w:r w:rsidRPr="00F32217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5027B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66</w:t>
            </w:r>
            <w:r w:rsidR="003C0ACD" w:rsidRPr="00F32217">
              <w:t>.</w:t>
            </w:r>
            <w:r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835" w:rsidRDefault="008E4835">
      <w:r>
        <w:separator/>
      </w:r>
    </w:p>
  </w:endnote>
  <w:endnote w:type="continuationSeparator" w:id="0">
    <w:p w:rsidR="008E4835" w:rsidRDefault="008E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835" w:rsidRDefault="008E4835">
      <w:r>
        <w:separator/>
      </w:r>
    </w:p>
  </w:footnote>
  <w:footnote w:type="continuationSeparator" w:id="0">
    <w:p w:rsidR="008E4835" w:rsidRDefault="008E4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A025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82373-371C-4181-B878-384147DD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55</cp:revision>
  <cp:lastPrinted>2017-06-06T05:44:00Z</cp:lastPrinted>
  <dcterms:created xsi:type="dcterms:W3CDTF">2016-11-18T04:21:00Z</dcterms:created>
  <dcterms:modified xsi:type="dcterms:W3CDTF">2017-07-25T12:03:00Z</dcterms:modified>
</cp:coreProperties>
</file>